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1100" w:before="0" w:after="0"/>
        <w:ind w:right="0" w:firstLine="0"/>
        <w:rPr>
          <w:spacing w:val="-60"/>
          <w:b w:val="1"/>
          <w:color w:val="FF6600"/>
          <w:position w:val="0"/>
          <w:sz w:val="96"/>
          <w:szCs w:val="96"/>
          <w:w w:val="60"/>
          <w:rFonts w:ascii="华文中宋" w:eastAsia="华文中宋" w:hAnsi="华文中宋" w:hint="default"/>
        </w:rPr>
        <w:autoSpaceDE w:val="1"/>
        <w:autoSpaceDN w:val="1"/>
      </w:pPr>
      <w:r>
        <w:rPr>
          <w:spacing w:val="-60"/>
          <w:b w:val="1"/>
          <w:color w:val="FF6600"/>
          <w:position w:val="0"/>
          <w:sz w:val="96"/>
          <w:szCs w:val="96"/>
          <w:w w:val="60"/>
          <w:rFonts w:ascii="华文中宋" w:eastAsia="华文中宋" w:hAnsi="华文中宋" w:hint="default"/>
        </w:rPr>
        <w:t>中国教育工会北京师范大学委员会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spacing w:val="-30"/>
          <w:color w:val="FF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50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Times New Roman" w:hAnsi="Times New Roman" w:hint="default"/>
        </w:rPr>
        <w:t>京师工通字[2018]2号</w:t>
      </w:r>
    </w:p>
    <w:p>
      <w:pPr>
        <w:numPr>
          <w:ilvl w:val="0"/>
          <w:numId w:val="0"/>
        </w:numPr>
        <w:jc w:val="distribute"/>
        <w:spacing w:lineRule="exact" w:line="500" w:before="0" w:after="0"/>
        <w:ind w:right="0" w:firstLine="0"/>
        <w:rPr>
          <w:spacing w:val="-30"/>
          <w:b w:val="1"/>
          <w:color w:val="FF6600"/>
          <w:position w:val="0"/>
          <w:sz w:val="56"/>
          <w:szCs w:val="56"/>
          <w:rFonts w:ascii="Times New Roman" w:eastAsia="Times New Roman" w:hAnsi="Times New Roman" w:hint="default"/>
        </w:rPr>
        <w:autoSpaceDE w:val="1"/>
        <w:autoSpaceDN w:val="1"/>
      </w:pPr>
      <w:r>
        <w:rPr>
          <w:spacing w:val="-30"/>
          <w:b w:val="1"/>
          <w:color w:val="FF6600"/>
          <w:position w:val="0"/>
          <w:sz w:val="56"/>
          <w:szCs w:val="56"/>
          <w:rFonts w:ascii="Times New Roman" w:eastAsia="Times New Roman" w:hAnsi="Times New Roman" w:hint="default"/>
        </w:rPr>
        <w:t>———————————————</w:t>
      </w:r>
      <w:r>
        <w:rPr>
          <w:spacing w:val="-30"/>
          <w:b w:val="1"/>
          <w:color w:val="FF6600"/>
          <w:position w:val="0"/>
          <w:sz w:val="56"/>
          <w:szCs w:val="56"/>
          <w:rFonts w:ascii="Times New Roman" w:eastAsia="Times New Roman" w:hAnsi="Times New Roman" w:hint="default"/>
        </w:rPr>
        <w:t>—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关于2018年非事业编（学部、院、处聘）教职工入会</w:t>
      </w: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的通知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30"/>
          <w:szCs w:val="30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b w:val="1"/>
          <w:color w:val="auto"/>
          <w:position w:val="0"/>
          <w:sz w:val="30"/>
          <w:szCs w:val="30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Times New Roman" w:eastAsia="Times New Roman" w:hAnsi="Times New Roman" w:hint="default"/>
        </w:rPr>
        <w:t>各部门工会：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567"/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2018年非事业编（学部、院、处聘）教职工入会工作即将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启动。根据《</w:t>
      </w:r>
      <w:r>
        <w:rPr>
          <w:color w:val="000000"/>
          <w:position w:val="0"/>
          <w:sz w:val="30"/>
          <w:szCs w:val="30"/>
          <w:rFonts w:ascii="宋体" w:eastAsia="Times New Roman" w:hAnsi="Times New Roman" w:hint="default"/>
        </w:rPr>
        <w:t>关于非事业编制员工加入工会组织的暂行办法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》（京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师工字[2009]第06号）和《&lt;关于非事业编制员工加入工会组织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的暂行办法&gt;的补充规定》（京师工字[2015]第003号）文件有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关规定，</w:t>
      </w:r>
      <w:r>
        <w:rPr>
          <w:color w:val="000000"/>
          <w:position w:val="0"/>
          <w:sz w:val="30"/>
          <w:szCs w:val="30"/>
          <w:rFonts w:ascii="Times New Roman" w:eastAsia="Times New Roman" w:hAnsi="Times New Roman" w:hint="default"/>
        </w:rPr>
        <w:t>凡在受聘单位工作满一年且能够继续受聘的非事业编</w:t>
      </w:r>
      <w:r>
        <w:rPr>
          <w:color w:val="000000"/>
          <w:position w:val="0"/>
          <w:sz w:val="30"/>
          <w:szCs w:val="30"/>
          <w:rFonts w:ascii="Times New Roman" w:eastAsia="Times New Roman" w:hAnsi="Times New Roman" w:hint="default"/>
        </w:rPr>
        <w:t>制员工均可自愿申请加入工会组织，入会手续每年办理一次。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具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体通知如下：</w:t>
      </w:r>
    </w:p>
    <w:p>
      <w:pPr>
        <w:pStyle w:val="PO26"/>
        <w:numPr>
          <w:ilvl w:val="0"/>
          <w:numId w:val="1"/>
        </w:numPr>
        <w:jc w:val="left"/>
        <w:spacing w:lineRule="exact" w:line="560" w:before="0" w:after="0"/>
        <w:ind w:right="0" w:firstLine="567"/>
        <w:tabs>
          <w:tab w:val="left" w:pos="993"/>
        </w:tabs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本年度缴费基数为2017年9月以来北京市最低工资标</w:t>
      </w: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准即2000元/月；</w:t>
      </w:r>
    </w:p>
    <w:p>
      <w:pPr>
        <w:pStyle w:val="PO26"/>
        <w:numPr>
          <w:ilvl w:val="0"/>
          <w:numId w:val="1"/>
        </w:numPr>
        <w:jc w:val="left"/>
        <w:spacing w:lineRule="exact" w:line="560" w:before="0" w:after="0"/>
        <w:ind w:right="0" w:firstLine="567"/>
        <w:tabs>
          <w:tab w:val="left" w:pos="993"/>
        </w:tabs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入会教职工缴纳会费标准为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基数的5‰，即</w:t>
      </w: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：10元/月/人，</w:t>
      </w: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全年会费120元/人，一次性足额缴纳；</w:t>
      </w:r>
    </w:p>
    <w:p>
      <w:pPr>
        <w:pStyle w:val="PO26"/>
        <w:numPr>
          <w:ilvl w:val="0"/>
          <w:numId w:val="1"/>
        </w:numPr>
        <w:jc w:val="left"/>
        <w:spacing w:lineRule="exact" w:line="560" w:before="0" w:after="0"/>
        <w:ind w:right="0" w:firstLine="567"/>
        <w:tabs>
          <w:tab w:val="left" w:pos="993"/>
        </w:tabs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入会教职工所在部门缴纳经费标准为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基数的2％的50%，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即</w:t>
      </w: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：20元/月/人，全年经费240元/人，一次性足额缴纳；</w:t>
      </w:r>
    </w:p>
    <w:p>
      <w:pPr>
        <w:pStyle w:val="PO26"/>
        <w:numPr>
          <w:ilvl w:val="0"/>
          <w:numId w:val="1"/>
        </w:numPr>
        <w:jc w:val="left"/>
        <w:spacing w:lineRule="exact" w:line="560" w:before="0" w:after="0"/>
        <w:ind w:right="0" w:firstLine="567"/>
        <w:tabs>
          <w:tab w:val="left" w:pos="993"/>
        </w:tabs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按照上级工会要求，每年三月一次性足额缴纳本年度的</w:t>
      </w: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会费经费，以便按时上缴上级工会，过时将不再办理；</w:t>
      </w:r>
    </w:p>
    <w:p>
      <w:pPr>
        <w:pStyle w:val="PO26"/>
        <w:numPr>
          <w:ilvl w:val="0"/>
          <w:numId w:val="1"/>
        </w:numPr>
        <w:jc w:val="left"/>
        <w:spacing w:lineRule="exact" w:line="560" w:before="0" w:after="0"/>
        <w:ind w:right="0" w:firstLine="567"/>
        <w:tabs>
          <w:tab w:val="left" w:pos="993"/>
        </w:tabs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会员资格以当年缴纳会费经费为准，每年办理一次。未</w:t>
      </w: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>按期缴费的，会员资格自动取消。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600"/>
        <w:tabs>
          <w:tab w:val="left" w:pos="993"/>
        </w:tabs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请各部门工会认真做好本部门新老教职工（学部、院、处</w:t>
      </w: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聘）入会工作，收费时间3月12日-3月30日。</w:t>
      </w:r>
    </w:p>
    <w:p>
      <w:pPr>
        <w:pStyle w:val="PO26"/>
        <w:numPr>
          <w:ilvl w:val="0"/>
          <w:numId w:val="0"/>
        </w:numPr>
        <w:jc w:val="left"/>
        <w:spacing w:lineRule="exact" w:line="560" w:before="0" w:after="0"/>
        <w:ind w:left="360" w:right="0" w:firstLine="0"/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附：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 xml:space="preserve">   2018年非事业编（学部、院、处聘）教职工入会登记表</w:t>
      </w:r>
    </w:p>
    <w:p>
      <w:pPr>
        <w:pStyle w:val="PO26"/>
        <w:numPr>
          <w:ilvl w:val="0"/>
          <w:numId w:val="0"/>
        </w:numPr>
        <w:jc w:val="left"/>
        <w:spacing w:lineRule="exact" w:line="560" w:before="0" w:after="0"/>
        <w:ind w:left="360" w:right="0" w:firstLine="0"/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left"/>
        <w:spacing w:lineRule="exact" w:line="560" w:before="0" w:after="0"/>
        <w:ind w:left="360" w:right="0" w:firstLine="0"/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left"/>
        <w:spacing w:lineRule="exact" w:line="560" w:before="0" w:after="0"/>
        <w:ind w:left="360" w:right="0" w:firstLine="0"/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left"/>
        <w:spacing w:lineRule="exact" w:line="560" w:before="0" w:after="0"/>
        <w:ind w:left="360" w:right="0" w:firstLine="0"/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 xml:space="preserve">                               校工会</w:t>
      </w:r>
    </w:p>
    <w:p>
      <w:pPr>
        <w:pStyle w:val="PO26"/>
        <w:sectPr>
          <w:pgSz w:w="11906" w:h="16838"/>
          <w:pgMar w:top="1276" w:left="1797" w:bottom="1440" w:right="1797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left"/>
        <w:spacing w:lineRule="exact" w:line="560" w:before="0" w:after="0"/>
        <w:ind w:left="360" w:right="0" w:firstLine="0"/>
        <w:rPr>
          <w:color w:val="auto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宋体" w:hAnsi="宋体" w:hint="default"/>
        </w:rPr>
        <w:t xml:space="preserve">                          2018年2月28日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t>2018年非事业编（学部、院、处聘）教职工入会登记表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0"/>
          <w:szCs w:val="30"/>
          <w:rFonts w:ascii="宋体" w:eastAsia="Times New Roman" w:hAnsi="Times New Roman" w:hint="default"/>
        </w:rPr>
        <w:autoSpaceDE w:val="1"/>
        <w:autoSpaceDN w:val="1"/>
      </w:pPr>
    </w:p>
    <w:tbl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360" w:type="dxa"/>
        <w:tblLook w:val="0004A0" w:firstRow="1" w:lastRow="0" w:firstColumn="1" w:lastColumn="0" w:noHBand="0" w:noVBand="1"/>
        <w:tblLayout w:type="auto"/>
      </w:tblPr>
      <w:tblGrid>
        <w:gridCol w:w="741"/>
        <w:gridCol w:w="3827"/>
        <w:gridCol w:w="1276"/>
        <w:gridCol w:w="850"/>
        <w:gridCol w:w="1418"/>
        <w:gridCol w:w="1984"/>
        <w:gridCol w:w="1560"/>
        <w:gridCol w:w="1701"/>
      </w:tblGrid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单位</w:t>
            </w: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工作证号</w:t>
            </w: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身份证号</w:t>
            </w: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户口类型</w:t>
            </w: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备注</w:t>
            </w: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/>
        <w:tc>
          <w:tcPr>
            <w:tcW w:type="dxa" w:w="741"/>
            <w:vAlign w:val="center"/>
          </w:tcPr>
          <w:p>
            <w:pPr>
              <w:pStyle w:val="PO26"/>
              <w:numPr>
                <w:ilvl w:val="0"/>
                <w:numId w:val="2"/>
              </w:numPr>
              <w:jc w:val="center"/>
              <w:spacing w:lineRule="exact" w:line="500" w:before="0" w:after="0"/>
              <w:ind w:right="0" w:left="420" w:hanging="42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827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84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560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pStyle w:val="PO26"/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sectPr>
      <w:pgSz w:w="16838" w:h="11906" w:orient="landscape"/>
      <w:pgMar w:top="1797" w:left="1440" w:bottom="1797" w:right="1440" w:header="851" w:footer="992" w:gutter="0"/>
      <w:pgNumType w:fmt="decimal"/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中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1"/>
      <w:suff w:val="tab"/>
      <w:pPr>
        <w:ind w:left="420" w:hanging="420"/>
        <w:jc w:val="both"/>
      </w:pPr>
      <w:rPr>
        <w:shd w:val="clear"/>
        <w:sz w:val="20"/>
        <w:szCs w:val="20"/>
        <w:w w:val="100"/>
      </w:rPr>
      <w:lvlText w:val="%1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  <w:rPr>
      <w:rFonts w:ascii="Calibri" w:eastAsia="宋体" w:hAnsi="Calibri"/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character">
    <w:name w:val="Hyperlink"/>
    <w:uiPriority w:val="151"/>
    <w:semiHidden/>
    <w:unhideWhenUsed/>
    <w:rPr>
      <w:color w:val="0000FF"/>
      <w:shd w:val="clear"/>
      <w:sz w:val="20"/>
      <w:szCs w:val="20"/>
      <w:u w:val="single"/>
      <w:w w:val="100"/>
    </w:rPr>
  </w:style>
  <w:style w:styleId="PO152" w:type="paragraph">
    <w:name w:val="header"/>
    <w:basedOn w:val="PO1"/>
    <w:link w:val="PO153"/>
    <w:uiPriority w:val="152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semiHidden/>
    <w:rPr>
      <w:rFonts w:ascii="Times New Roman" w:eastAsia="Times New Roman" w:hAnsi="Times New Roman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824</Characters>
  <CharactersWithSpaces>0</CharactersWithSpaces>
  <Company>Lenovo</Company>
  <DocSecurity>0</DocSecurity>
  <HyperlinksChanged>false</HyperlinksChanged>
  <Lines>5</Lines>
  <LinksUpToDate>false</LinksUpToDate>
  <Pages>3</Pages>
  <Paragraphs>1</Paragraphs>
  <Words>123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2018-03-01T03:33:00Z</dcterms:modified>
</cp:coreProperties>
</file>