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73" w:rsidRDefault="00143E73" w:rsidP="00143E7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A018C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 w:rsidRPr="005A018C">
        <w:rPr>
          <w:rFonts w:asciiTheme="minorEastAsia" w:hAnsiTheme="minorEastAsia" w:hint="eastAsia"/>
          <w:b/>
          <w:sz w:val="28"/>
          <w:szCs w:val="28"/>
        </w:rPr>
        <w:t>：</w:t>
      </w:r>
    </w:p>
    <w:p w:rsidR="00143E73" w:rsidRPr="00E004F7" w:rsidRDefault="00143E73" w:rsidP="00143E73"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A15631">
        <w:rPr>
          <w:rFonts w:ascii="黑体" w:eastAsia="黑体" w:hAnsi="黑体" w:hint="eastAsia"/>
          <w:b/>
          <w:sz w:val="32"/>
          <w:szCs w:val="32"/>
        </w:rPr>
        <w:t>首都高校体育竞赛相关风险</w:t>
      </w:r>
      <w:r>
        <w:rPr>
          <w:rFonts w:ascii="黑体" w:eastAsia="黑体" w:hAnsi="黑体" w:hint="eastAsia"/>
          <w:b/>
          <w:sz w:val="32"/>
          <w:szCs w:val="32"/>
        </w:rPr>
        <w:t>告知</w:t>
      </w:r>
      <w:r w:rsidRPr="00A15631">
        <w:rPr>
          <w:rFonts w:ascii="黑体" w:eastAsia="黑体" w:hAnsi="黑体" w:hint="eastAsia"/>
          <w:b/>
          <w:sz w:val="32"/>
          <w:szCs w:val="32"/>
        </w:rPr>
        <w:t>及防疫要求</w:t>
      </w:r>
    </w:p>
    <w:p w:rsidR="00143E73" w:rsidRDefault="00143E73" w:rsidP="00143E73">
      <w:pPr>
        <w:pStyle w:val="1"/>
        <w:spacing w:before="205"/>
      </w:pPr>
      <w:bookmarkStart w:id="1" w:name="_Toc31834"/>
      <w:bookmarkStart w:id="2" w:name="_Toc15492"/>
      <w:bookmarkStart w:id="3" w:name="_Toc13245"/>
      <w:bookmarkEnd w:id="0"/>
      <w:r>
        <w:rPr>
          <w:rFonts w:hint="eastAsia"/>
        </w:rPr>
        <w:t>风险告知</w:t>
      </w:r>
      <w:bookmarkEnd w:id="1"/>
      <w:bookmarkEnd w:id="2"/>
      <w:bookmarkEnd w:id="3"/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为确保首都高校体育竞赛的安全、防止运动意外的发生，凡患以下疾病的学生不能参加体育竞赛活动。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1.凡有心脏疾患的。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2.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有其它慢性疾患的（高血压、糖尿病、结核、肝炎、肾病、内分泌疾病等）。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3.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进行过脏器移植的。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4.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术后恢复期。 </w:t>
      </w:r>
    </w:p>
    <w:p w:rsidR="00143E73" w:rsidRPr="00E004F7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5.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以上未包含的不能参加体育竞赛的疾病。 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ab/>
        <w:t xml:space="preserve"> </w:t>
      </w:r>
    </w:p>
    <w:p w:rsidR="00143E73" w:rsidRPr="00A15631" w:rsidRDefault="00143E73" w:rsidP="00143E73">
      <w:pPr>
        <w:pStyle w:val="1"/>
        <w:spacing w:before="205"/>
      </w:pPr>
      <w:bookmarkStart w:id="4" w:name="_Toc1568"/>
      <w:bookmarkStart w:id="5" w:name="_Toc19965"/>
      <w:bookmarkStart w:id="6" w:name="_Toc26037"/>
      <w:r w:rsidRPr="00A15631">
        <w:rPr>
          <w:rFonts w:hint="eastAsia"/>
        </w:rPr>
        <w:t>注意事项</w:t>
      </w:r>
      <w:bookmarkEnd w:id="4"/>
      <w:bookmarkEnd w:id="5"/>
      <w:bookmarkEnd w:id="6"/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1.参加比赛前每天生活要规律，要保证充足的睡眠。一般睡眠时间 8 小时以上。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2.合理安排饮食，在比赛开始前 2 小时前完成最后一餐。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3.准备活动不仅可以使人的体温升高，使肌肉的粘滞性下降，而且加大了肌肉的柔韧性，避免了运动损伤的出现。一般不少于 20 分钟。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4.充分的赛前心理准备，可以增强运动员的自信心，消除各种心理障碍，从而形成最佳的心理状态，使身体的各项肌能处于积极备战状态，创造出最佳的运动成绩。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5.拉伤韧带处置：应及时停止活动,以便减少创面出血,避免加重拉伤程度。应立即冷敷止血并迅速使用绷带包扎好受伤部位，预防肌肉肿胀，及时就医。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6.骨折处置：闭合性骨折的特点是伤口不明显,而开放性骨折的特点是骨头断裂的尖端穿过皮肤,在外部就能看到伤口。用消过毒的</w:t>
      </w: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lastRenderedPageBreak/>
        <w:t xml:space="preserve">纱布对伤口做简单的包扎,固定受伤部位的关节。如果受伤者是脊柱骨折,就必须使用担架或者木板固定伤者，及时送到医院治疗,移动的过程中,不能移动伤者的头部，及时就医。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7.赛事现场医务保障</w:t>
      </w:r>
      <w:proofErr w:type="gramStart"/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组应该</w:t>
      </w:r>
      <w:proofErr w:type="gramEnd"/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有明显的标识，提供紧急联系电话。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大型赛事现场准备 120、999 急救车。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30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8.赛事如遇极端天气，如暴雨、雾</w:t>
      </w:r>
      <w:proofErr w:type="gramStart"/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霾</w:t>
      </w:r>
      <w:proofErr w:type="gramEnd"/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 xml:space="preserve">、高温等主办方应有应急预案。 </w:t>
      </w:r>
    </w:p>
    <w:p w:rsidR="00143E73" w:rsidRPr="00A15631" w:rsidRDefault="00143E73" w:rsidP="00143E73">
      <w:pPr>
        <w:tabs>
          <w:tab w:val="left" w:pos="851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 w:rsidRPr="00A15631">
        <w:rPr>
          <w:rFonts w:ascii="仿宋" w:eastAsia="仿宋" w:hAnsi="仿宋" w:hint="eastAsia"/>
          <w:snapToGrid w:val="0"/>
          <w:color w:val="000000"/>
          <w:kern w:val="0"/>
          <w:sz w:val="28"/>
          <w:szCs w:val="30"/>
        </w:rPr>
        <w:t>9.参赛单位应统一组织学生前往参赛，赛后须统一组织回校。</w:t>
      </w:r>
    </w:p>
    <w:p w:rsidR="00143E73" w:rsidRPr="00A15631" w:rsidRDefault="00143E73" w:rsidP="00143E73">
      <w:pPr>
        <w:pStyle w:val="1"/>
        <w:spacing w:before="205"/>
      </w:pPr>
      <w:bookmarkStart w:id="7" w:name="_Toc32570"/>
      <w:bookmarkStart w:id="8" w:name="_Toc16994"/>
      <w:bookmarkStart w:id="9" w:name="_Toc2164"/>
      <w:r w:rsidRPr="00A15631">
        <w:rPr>
          <w:rFonts w:hint="eastAsia"/>
        </w:rPr>
        <w:t>疫情防控</w:t>
      </w:r>
      <w:bookmarkEnd w:id="7"/>
      <w:bookmarkEnd w:id="8"/>
      <w:bookmarkEnd w:id="9"/>
    </w:p>
    <w:p w:rsidR="00143E73" w:rsidRPr="00526DA7" w:rsidRDefault="00143E73" w:rsidP="00143E73">
      <w:pPr>
        <w:pStyle w:val="a3"/>
        <w:spacing w:before="190"/>
        <w:ind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1.比赛实行网上报名。所有参与人员进行实名制管理，并且查验“北京健康宝”。 </w:t>
      </w:r>
    </w:p>
    <w:p w:rsidR="00143E73" w:rsidRPr="00526DA7" w:rsidRDefault="00143E73" w:rsidP="00143E73">
      <w:pPr>
        <w:pStyle w:val="a3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2.严格落实所有入场人员检测体温、信息登记措施，实行“绿码”准入制。未戴口罩和体温 37.3 以上者禁止入场。 </w:t>
      </w:r>
    </w:p>
    <w:p w:rsidR="00143E73" w:rsidRPr="00526DA7" w:rsidRDefault="00143E73" w:rsidP="00143E73">
      <w:pPr>
        <w:pStyle w:val="a3"/>
        <w:spacing w:line="417" w:lineRule="auto"/>
        <w:ind w:right="214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3.除运动员处于比赛、裁判员处于场上执</w:t>
      </w:r>
      <w:proofErr w:type="gramStart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裁期间</w:t>
      </w:r>
      <w:proofErr w:type="gramEnd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以外，所有人员进入比赛</w:t>
      </w:r>
      <w:proofErr w:type="gramStart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场馆须</w:t>
      </w:r>
      <w:proofErr w:type="gramEnd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全程科学佩戴口罩，赛场内禁止饮食。 </w:t>
      </w:r>
    </w:p>
    <w:p w:rsidR="00143E73" w:rsidRPr="00526DA7" w:rsidRDefault="00143E73" w:rsidP="00143E73">
      <w:pPr>
        <w:pStyle w:val="a3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4.严格落实保持社交距离一米以上，在各区域安排引导</w:t>
      </w:r>
      <w:proofErr w:type="gramStart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>员做好</w:t>
      </w:r>
      <w:proofErr w:type="gramEnd"/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现场管理。 </w:t>
      </w:r>
    </w:p>
    <w:p w:rsidR="00143E73" w:rsidRPr="00526DA7" w:rsidRDefault="00143E73" w:rsidP="00143E73">
      <w:pPr>
        <w:pStyle w:val="a3"/>
        <w:spacing w:before="1" w:line="417" w:lineRule="auto"/>
        <w:ind w:right="213"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  <w:r w:rsidRPr="00526DA7">
        <w:rPr>
          <w:rFonts w:ascii="仿宋" w:eastAsia="仿宋" w:hAnsi="仿宋" w:cs="Times New Roman" w:hint="eastAsia"/>
          <w:b w:val="0"/>
          <w:bCs w:val="0"/>
          <w:sz w:val="28"/>
          <w:szCs w:val="28"/>
          <w:lang w:val="en-US" w:bidi="ar-SA"/>
        </w:rPr>
        <w:t xml:space="preserve">5.在比赛场馆各区域间隔就坐。如需就餐，实行分餐制，就餐期间禁止交谈。 </w:t>
      </w:r>
    </w:p>
    <w:p w:rsidR="00143E73" w:rsidRPr="00526DA7" w:rsidRDefault="00143E73" w:rsidP="00143E73">
      <w:pPr>
        <w:pStyle w:val="a3"/>
        <w:rPr>
          <w:rFonts w:ascii="仿宋" w:eastAsia="仿宋" w:hAnsi="仿宋" w:cs="Times New Roman"/>
          <w:b w:val="0"/>
          <w:bCs w:val="0"/>
          <w:sz w:val="28"/>
          <w:szCs w:val="28"/>
          <w:lang w:val="en-US" w:bidi="ar-SA"/>
        </w:rPr>
      </w:pPr>
    </w:p>
    <w:p w:rsidR="00143E73" w:rsidRPr="00526DA7" w:rsidRDefault="00143E73" w:rsidP="00143E73">
      <w:pPr>
        <w:pStyle w:val="1"/>
        <w:spacing w:before="64"/>
        <w:ind w:left="0" w:right="1615"/>
        <w:rPr>
          <w:rFonts w:ascii="仿宋" w:eastAsia="仿宋" w:hAnsi="仿宋" w:cs="Times New Roman"/>
          <w:b w:val="0"/>
          <w:bCs w:val="0"/>
          <w:lang w:val="en-US" w:bidi="ar-SA"/>
        </w:rPr>
      </w:pPr>
      <w:bookmarkStart w:id="10" w:name="_Toc10843"/>
      <w:bookmarkStart w:id="11" w:name="_Toc13619"/>
      <w:bookmarkStart w:id="12" w:name="_Toc11055"/>
      <w:r w:rsidRPr="00526DA7">
        <w:rPr>
          <w:rFonts w:ascii="仿宋" w:eastAsia="仿宋" w:hAnsi="仿宋" w:cs="Times New Roman" w:hint="eastAsia"/>
          <w:b w:val="0"/>
          <w:bCs w:val="0"/>
          <w:lang w:val="en-US" w:bidi="ar-SA"/>
        </w:rPr>
        <w:t xml:space="preserve">            </w:t>
      </w:r>
      <w:r w:rsidRPr="00526DA7">
        <w:rPr>
          <w:rFonts w:ascii="仿宋" w:eastAsia="仿宋" w:hAnsi="仿宋" w:cs="Times New Roman"/>
          <w:b w:val="0"/>
          <w:bCs w:val="0"/>
          <w:lang w:val="en-US" w:bidi="ar-SA"/>
        </w:rPr>
        <w:t>北京市大学生体育协会</w:t>
      </w:r>
      <w:bookmarkEnd w:id="10"/>
      <w:bookmarkEnd w:id="11"/>
      <w:bookmarkEnd w:id="12"/>
    </w:p>
    <w:p w:rsidR="00143E73" w:rsidRPr="00526DA7" w:rsidRDefault="00143E73" w:rsidP="00143E73">
      <w:pPr>
        <w:jc w:val="center"/>
        <w:rPr>
          <w:rFonts w:ascii="仿宋" w:eastAsia="仿宋" w:hAnsi="仿宋"/>
          <w:sz w:val="28"/>
          <w:szCs w:val="28"/>
        </w:rPr>
      </w:pPr>
      <w:r w:rsidRPr="00526DA7">
        <w:rPr>
          <w:rFonts w:ascii="仿宋" w:eastAsia="仿宋" w:hAnsi="仿宋" w:hint="eastAsia"/>
          <w:sz w:val="28"/>
          <w:szCs w:val="28"/>
        </w:rPr>
        <w:t>2020 年 9 月 16日</w:t>
      </w:r>
    </w:p>
    <w:p w:rsidR="00667AB7" w:rsidRPr="00143E73" w:rsidRDefault="00667AB7"/>
    <w:sectPr w:rsidR="00667AB7" w:rsidRPr="0014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143E73"/>
    <w:rsid w:val="001C1B5A"/>
    <w:rsid w:val="00667AB7"/>
    <w:rsid w:val="00D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E553"/>
  <w15:chartTrackingRefBased/>
  <w15:docId w15:val="{310F291B-116C-4D41-AF58-23ACF78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43E73"/>
    <w:pPr>
      <w:ind w:left="1797" w:right="1890"/>
      <w:jc w:val="center"/>
      <w:outlineLvl w:val="0"/>
    </w:pPr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143E73"/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143E73"/>
    <w:rPr>
      <w:rFonts w:ascii="宋体" w:eastAsia="宋体" w:hAnsi="宋体" w:cs="宋体"/>
      <w:b/>
      <w:bCs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43E73"/>
    <w:rPr>
      <w:rFonts w:ascii="宋体" w:eastAsia="宋体" w:hAnsi="宋体" w:cs="宋体"/>
      <w:b/>
      <w:bCs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HP Inc.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2</cp:revision>
  <dcterms:created xsi:type="dcterms:W3CDTF">2022-03-28T09:16:00Z</dcterms:created>
  <dcterms:modified xsi:type="dcterms:W3CDTF">2022-03-28T09:16:00Z</dcterms:modified>
</cp:coreProperties>
</file>